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8" w:rsidRPr="008017E8" w:rsidRDefault="008017E8" w:rsidP="008017E8">
      <w:pPr>
        <w:jc w:val="right"/>
        <w:rPr>
          <w:rFonts w:ascii="Times New Roman" w:hAnsi="Times New Roman" w:cs="Times New Roman"/>
          <w:sz w:val="24"/>
          <w:szCs w:val="24"/>
        </w:rPr>
      </w:pPr>
      <w:r w:rsidRPr="008017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76E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017E8" w:rsidRPr="008017E8" w:rsidRDefault="008017E8" w:rsidP="0080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7E8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Pr="008017E8">
        <w:rPr>
          <w:rFonts w:ascii="Times New Roman" w:hAnsi="Times New Roman" w:cs="Times New Roman"/>
          <w:b/>
          <w:sz w:val="24"/>
          <w:szCs w:val="24"/>
        </w:rPr>
        <w:t>индивидуального итогового проекта</w:t>
      </w:r>
    </w:p>
    <w:p w:rsidR="008017E8" w:rsidRPr="008017E8" w:rsidRDefault="008017E8" w:rsidP="008017E8">
      <w:pPr>
        <w:pStyle w:val="Default"/>
        <w:spacing w:after="36"/>
        <w:jc w:val="both"/>
      </w:pPr>
      <w:r w:rsidRPr="008017E8">
        <w:t>1. Работа выполняется на стандартных машинописных листах формата А</w:t>
      </w:r>
      <w:proofErr w:type="gramStart"/>
      <w:r w:rsidRPr="008017E8">
        <w:t>4</w:t>
      </w:r>
      <w:proofErr w:type="gramEnd"/>
      <w:r w:rsidRPr="008017E8">
        <w:t xml:space="preserve"> (297х210мм) с полями: верхнее и нижнее – по 20</w:t>
      </w:r>
      <w:r>
        <w:t xml:space="preserve"> </w:t>
      </w:r>
      <w:r w:rsidRPr="008017E8">
        <w:t>мм, левое – 30</w:t>
      </w:r>
      <w:r>
        <w:t xml:space="preserve"> </w:t>
      </w:r>
      <w:r w:rsidRPr="008017E8">
        <w:t>мм, правое – 10</w:t>
      </w:r>
      <w:r>
        <w:t xml:space="preserve"> </w:t>
      </w:r>
      <w:r w:rsidRPr="008017E8">
        <w:t xml:space="preserve">мм. </w:t>
      </w:r>
      <w:proofErr w:type="gramStart"/>
      <w:r w:rsidRPr="008017E8">
        <w:t xml:space="preserve">Шрифт – </w:t>
      </w:r>
      <w:proofErr w:type="spellStart"/>
      <w:r w:rsidRPr="008017E8">
        <w:t>Times</w:t>
      </w:r>
      <w:proofErr w:type="spellEnd"/>
      <w:r w:rsidRPr="008017E8">
        <w:t xml:space="preserve"> </w:t>
      </w:r>
      <w:proofErr w:type="spellStart"/>
      <w:r w:rsidRPr="008017E8">
        <w:t>New</w:t>
      </w:r>
      <w:proofErr w:type="spellEnd"/>
      <w:r w:rsidRPr="008017E8">
        <w:t xml:space="preserve"> </w:t>
      </w:r>
      <w:proofErr w:type="spellStart"/>
      <w:r w:rsidRPr="008017E8">
        <w:t>Roman</w:t>
      </w:r>
      <w:proofErr w:type="spellEnd"/>
      <w:r w:rsidRPr="008017E8">
        <w:t>, размер – 14, через 1,5 интервала, форматирование – «по ширине», красная строка абзаца – 1,27см. Допускается выделение в тексте отдельных слов, предложений, абзацев «курсивом» или «жирным шрифтом».</w:t>
      </w:r>
      <w:proofErr w:type="gramEnd"/>
      <w:r w:rsidRPr="008017E8">
        <w:t xml:space="preserve"> Объем работы – произвольный. </w:t>
      </w:r>
    </w:p>
    <w:p w:rsidR="008017E8" w:rsidRDefault="008017E8" w:rsidP="008017E8">
      <w:pPr>
        <w:pStyle w:val="Default"/>
        <w:spacing w:after="36"/>
        <w:jc w:val="both"/>
      </w:pPr>
    </w:p>
    <w:p w:rsidR="008017E8" w:rsidRPr="008017E8" w:rsidRDefault="008017E8" w:rsidP="008017E8">
      <w:pPr>
        <w:pStyle w:val="Default"/>
        <w:spacing w:after="36"/>
        <w:jc w:val="both"/>
      </w:pPr>
      <w:r w:rsidRPr="008017E8">
        <w:t xml:space="preserve">2. Титульный лист оформляется строго в соответствии с образцом. </w:t>
      </w: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643890</wp:posOffset>
                </wp:positionH>
                <wp:positionV relativeFrom="paragraph">
                  <wp:posOffset>3810</wp:posOffset>
                </wp:positionV>
                <wp:extent cx="4362450" cy="57531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Муниципальное общеобразовательное учреждение лицей №3 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Галича Костромской области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Учебный проект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(тема проекта)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Выполнил: Иванов Иван,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учащийся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класса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Научный руководитель: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учитель математики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первой квалификационной категории</w:t>
                            </w: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Галич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  <w:p w:rsidR="008017E8" w:rsidRPr="008017E8" w:rsidRDefault="008017E8" w:rsidP="008017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.7pt;margin-top:.3pt;width:343.5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D7PgIAAE0EAAAOAAAAZHJzL2Uyb0RvYy54bWysVM2O0zAQviPxDpbvNGnabHejpqulSxHS&#10;8iMtPIDjOI2F4wm226TcuPMKvAMHDtx4he4bMXa6pVrggsjB8njGn2e+bybzy75RZCuMlaBzOh7F&#10;lAjNoZR6ndN3b1dPzimxjumSKdAipzth6eXi8aN512YigRpUKQxBEG2zrs1p7VybRZHltWiYHUEr&#10;NDorMA1zaJp1VBrWIXqjoiSOz6IOTNka4MJaPL0enHQR8KtKcPe6qqxwROUUc3NhNWEt/Bot5ixb&#10;G9bWkh/SYP+QRcOkxkePUNfMMbIx8jeoRnIDFio34tBEUFWSi1ADVjOOH1RzW7NWhFqQHNseabL/&#10;D5a/2r4xRJY5ncQzSjRrUKT9l/3X/bf9j/33u093n0niWepam2HwbYvhrn8KPaodKrbtDfD3lmhY&#10;1kyvxZUx0NWClZjl2N+MTq4OONaDFN1LKPExtnEQgPrKNJ5CJIUgOqq1Oyokekc4Hk4nZ8k0RRdH&#10;XzpLJ+M4aBix7P56a6x7LqAhfpNTgy0Q4Nn2xjqfDsvuQ/xrFpQsV1KpYJh1sVSGbBm2yyp8oYIH&#10;YUqTLqcXaZIODPwVIg7fnyAa6bDvlWxyen4MYpnn7ZkuQ1c6JtWwx5SVPhDpuRtYdH3RH4QpoNwh&#10;pQaG/sZ5xE0N5iMlHfZ2Tu2HDTOCEvVCoywX4+nUD0MwpuksQcOceopTD9McoXLqKBm2SxcGyBOm&#10;4Qrlq2Qg1us8ZHLIFXs28H2YLz8Up3aI+vUXWPwEAAD//wMAUEsDBBQABgAIAAAAIQANzkjv3QAA&#10;AAgBAAAPAAAAZHJzL2Rvd25yZXYueG1sTI/LTsMwEEX3SPyDNUhsELULlZuGOBVCAsEOCmq3bjxN&#10;IvwItpuGv2dYwfLoXt05U60nZ9mIMfXBK5jPBDD0TTC9bxV8vD9eF8BS1t5oGzwq+MYE6/r8rNKl&#10;CSf/huMmt4xGfCq1gi7noeQ8NR06nWZhQE/ZIUSnM2FsuYn6ROPO8hshJHe693Sh0wM+dNh8bo5O&#10;QbF4Hnfp5fZ128iDXeWr5fj0FZW6vJju74BlnPJfGX71SR1qctqHozeJWWIxX1BVgQRG8bIoCPcK&#10;VkJK4HXF/z9Q/wAAAP//AwBQSwECLQAUAAYACAAAACEAtoM4kv4AAADhAQAAEwAAAAAAAAAAAAAA&#10;AAAAAAAAW0NvbnRlbnRfVHlwZXNdLnhtbFBLAQItABQABgAIAAAAIQA4/SH/1gAAAJQBAAALAAAA&#10;AAAAAAAAAAAAAC8BAABfcmVscy8ucmVsc1BLAQItABQABgAIAAAAIQCxu2D7PgIAAE0EAAAOAAAA&#10;AAAAAAAAAAAAAC4CAABkcnMvZTJvRG9jLnhtbFBLAQItABQABgAIAAAAIQANzkjv3QAAAAgBAAAP&#10;AAAAAAAAAAAAAAAAAJgEAABkcnMvZG93bnJldi54bWxQSwUGAAAAAAQABADzAAAAogUAAAAA&#10;">
                <v:textbox>
                  <w:txbxContent>
                    <w:p w:rsidR="008017E8" w:rsidRP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Муниципальное общеобразовательное учреждение лицей №3 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Галича Костромской области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Учебный проект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(тема проекта)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Выполнил: Иванов Иван,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учащийся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класса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Научный руководитель: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Иванов Иван Иванович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учитель математики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первой квалификационной категории</w:t>
                      </w: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Галич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17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2015</w:t>
                      </w:r>
                    </w:p>
                    <w:p w:rsidR="008017E8" w:rsidRPr="008017E8" w:rsidRDefault="008017E8" w:rsidP="008017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Default="008017E8" w:rsidP="008017E8">
      <w:pPr>
        <w:pStyle w:val="Default"/>
        <w:spacing w:after="36"/>
        <w:jc w:val="both"/>
      </w:pPr>
    </w:p>
    <w:p w:rsidR="008017E8" w:rsidRPr="008017E8" w:rsidRDefault="008017E8" w:rsidP="008017E8">
      <w:pPr>
        <w:pStyle w:val="Default"/>
        <w:spacing w:after="36"/>
        <w:jc w:val="both"/>
      </w:pPr>
      <w:r w:rsidRPr="008017E8">
        <w:t xml:space="preserve">3. В работе не допускаются орфографические, пунктуационные и стилистические ошибки. 4. Текст работы должен быть </w:t>
      </w:r>
      <w:r>
        <w:t xml:space="preserve">пронумерован в соответствии со </w:t>
      </w:r>
      <w:r w:rsidRPr="008017E8">
        <w:t>структурой индивидуально</w:t>
      </w:r>
      <w:r>
        <w:t>го</w:t>
      </w:r>
      <w:r w:rsidRPr="008017E8">
        <w:t xml:space="preserve"> </w:t>
      </w:r>
      <w:r>
        <w:t>итогового проекта.</w:t>
      </w:r>
    </w:p>
    <w:p w:rsidR="008017E8" w:rsidRPr="008017E8" w:rsidRDefault="008017E8" w:rsidP="008017E8">
      <w:pPr>
        <w:pStyle w:val="Default"/>
        <w:spacing w:after="36"/>
        <w:jc w:val="both"/>
      </w:pPr>
      <w:r w:rsidRPr="008017E8">
        <w:t xml:space="preserve">5. Работа может содержать любое количество пронумерованных приложений при наличии в тексте ссылок на них. Например: (см. Приложение 5.). Все приложения должны быть озаглавлены. </w:t>
      </w:r>
    </w:p>
    <w:p w:rsidR="008017E8" w:rsidRPr="008017E8" w:rsidRDefault="008017E8" w:rsidP="008017E8">
      <w:pPr>
        <w:pStyle w:val="Default"/>
        <w:jc w:val="both"/>
      </w:pPr>
      <w:r w:rsidRPr="008017E8">
        <w:lastRenderedPageBreak/>
        <w:t xml:space="preserve">6. Цифровой материал, когда его много или когда имеется необходимость в сопоставлении и выводе определенных закономерностей, оформляют в исследовании в виде таблиц.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Таблица представляет собой такой способ подачи информации, при котором цифровой или текстовой материал группируется в колонки, отграниченные одна от другой вертикальными и горизонтальными линейками.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По содержанию таблицы делятся </w:t>
      </w:r>
      <w:proofErr w:type="gramStart"/>
      <w:r w:rsidRPr="008017E8">
        <w:t>на</w:t>
      </w:r>
      <w:proofErr w:type="gramEnd"/>
      <w:r w:rsidRPr="008017E8">
        <w:t xml:space="preserve"> аналитические и неаналитические. Аналитические таблицы являются результатом обработки и анализа цифровых показателей. </w:t>
      </w:r>
      <w:proofErr w:type="gramStart"/>
      <w:r w:rsidRPr="008017E8">
        <w:t xml:space="preserve">Как правило, после таких таблиц делается </w:t>
      </w:r>
      <w:r w:rsidRPr="008017E8">
        <w:rPr>
          <w:b/>
          <w:bCs/>
        </w:rPr>
        <w:t xml:space="preserve">обобщение </w:t>
      </w:r>
      <w:r w:rsidRPr="008017E8">
        <w:t>в качестве нового (выводного) знания, которое вводится в текст словами: «таблица позволяет сделать вывод, что...», «из таблицы видно, что...», «таблица позволит заключить, что...» и т.п.</w:t>
      </w:r>
      <w:proofErr w:type="gramEnd"/>
      <w:r w:rsidRPr="008017E8">
        <w:t xml:space="preserve"> Часто такие таблицы дают возможность выявить и сформулировать определенные закономерности.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В неаналитических таблицах помещаются, как правило, необработанные статистические данные, необходимые лишь для информации или констатации.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Обычно таблица состоит из следующих элементов: порядкового номера и тематического заголовка, боковика, заголовков вертикальных граф (головки), горизонтальных и вертикальных граф основной части, т.е. </w:t>
      </w:r>
      <w:proofErr w:type="spellStart"/>
      <w:r w:rsidRPr="008017E8">
        <w:t>прографки</w:t>
      </w:r>
      <w:proofErr w:type="spellEnd"/>
      <w:r w:rsidRPr="008017E8">
        <w:t xml:space="preserve">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Порядковый номер </w:t>
      </w:r>
      <w:r w:rsidRPr="008017E8">
        <w:t xml:space="preserve">таблицы служит для ее связи с текстом. Он состоит из слова «таблица» и цифры ее номера в исследовании. </w:t>
      </w:r>
      <w:proofErr w:type="gramStart"/>
      <w:r w:rsidRPr="008017E8">
        <w:t>Слово «таблица» пишется с прописной буквы, значок “№” перед порядковым номером и точку после него не ставят (например:</w:t>
      </w:r>
      <w:proofErr w:type="gramEnd"/>
      <w:r w:rsidRPr="008017E8">
        <w:t xml:space="preserve"> Таблица 5).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Если в исследовании одна таблица, то ни нумерационный заголовок, ни слово «таблица» не нужны. </w:t>
      </w:r>
      <w:proofErr w:type="gramStart"/>
      <w:r w:rsidRPr="008017E8">
        <w:t>В этом случае в тексте слово «таблица» необходимо писать без сокращения, например: «как видно из таблицы…», «По результатам анализа (см. таблицу) видно, что…».</w:t>
      </w:r>
      <w:proofErr w:type="gramEnd"/>
      <w:r w:rsidRPr="008017E8">
        <w:t xml:space="preserve"> Если в исследовании две таблицы и более, то они должны быть пронумерованы, и на каждую необходима ссылка в тексте. Слово «таблица» в этом случае приводят в сокращенном виде, знак «№» не ставят, например: «Данные анализа (табл. 5) показывают, что…» </w:t>
      </w:r>
    </w:p>
    <w:p w:rsidR="008017E8" w:rsidRPr="008017E8" w:rsidRDefault="008017E8" w:rsidP="008017E8">
      <w:pPr>
        <w:pStyle w:val="Default"/>
        <w:spacing w:after="38"/>
        <w:jc w:val="both"/>
      </w:pPr>
      <w:r w:rsidRPr="008017E8">
        <w:t xml:space="preserve">7. </w:t>
      </w:r>
      <w:proofErr w:type="gramStart"/>
      <w:r w:rsidRPr="008017E8">
        <w:t xml:space="preserve">При заимствовании текста из Интернета, учебников, книг, статей и т.п., </w:t>
      </w:r>
      <w:r w:rsidRPr="008017E8">
        <w:rPr>
          <w:b/>
          <w:bCs/>
        </w:rPr>
        <w:t xml:space="preserve">обязательно </w:t>
      </w:r>
      <w:r w:rsidRPr="008017E8">
        <w:t>наличие ссылок на автора текста в конце предложения или абзаца в виде [7.</w:t>
      </w:r>
      <w:proofErr w:type="gramEnd"/>
      <w:r w:rsidRPr="008017E8">
        <w:t xml:space="preserve"> </w:t>
      </w:r>
      <w:proofErr w:type="gramStart"/>
      <w:r w:rsidRPr="008017E8">
        <w:t xml:space="preserve">C.28], где первая цифра обозначает номер источника в Вашем списке литературы, а вторая – номер страницы. </w:t>
      </w:r>
      <w:proofErr w:type="gramEnd"/>
    </w:p>
    <w:p w:rsidR="008017E8" w:rsidRPr="008017E8" w:rsidRDefault="008017E8" w:rsidP="008017E8">
      <w:pPr>
        <w:pStyle w:val="Default"/>
        <w:jc w:val="both"/>
      </w:pPr>
      <w:r w:rsidRPr="008017E8">
        <w:t xml:space="preserve">8. Список использованных источников составляется в соответствии с ниже приведенными правилами. </w:t>
      </w:r>
    </w:p>
    <w:p w:rsidR="008017E8" w:rsidRPr="008017E8" w:rsidRDefault="008017E8" w:rsidP="008017E8">
      <w:pPr>
        <w:pStyle w:val="Default"/>
        <w:jc w:val="both"/>
        <w:rPr>
          <w:b/>
          <w:bCs/>
        </w:rPr>
      </w:pPr>
    </w:p>
    <w:p w:rsidR="008017E8" w:rsidRDefault="007576E2" w:rsidP="007576E2">
      <w:pPr>
        <w:pStyle w:val="Default"/>
        <w:jc w:val="center"/>
        <w:rPr>
          <w:b/>
          <w:bCs/>
        </w:rPr>
      </w:pPr>
      <w:r>
        <w:rPr>
          <w:b/>
          <w:bCs/>
        </w:rPr>
        <w:t>Правила оформления библиографии</w:t>
      </w:r>
    </w:p>
    <w:p w:rsidR="007576E2" w:rsidRPr="008017E8" w:rsidRDefault="007576E2" w:rsidP="007576E2">
      <w:pPr>
        <w:pStyle w:val="Default"/>
        <w:jc w:val="center"/>
        <w:rPr>
          <w:b/>
          <w:bCs/>
        </w:rPr>
      </w:pPr>
      <w:r>
        <w:rPr>
          <w:b/>
          <w:bCs/>
        </w:rPr>
        <w:t>(списка использованных источников информации)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Государственные стандарты и сборники документов.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Библиографическое описание документа. Общие требования и правила составления: ГОСТ 7.1.84. – </w:t>
      </w:r>
      <w:proofErr w:type="spellStart"/>
      <w:r w:rsidRPr="008017E8">
        <w:t>Введ</w:t>
      </w:r>
      <w:proofErr w:type="spellEnd"/>
      <w:r w:rsidRPr="008017E8">
        <w:t xml:space="preserve">. 01.01.86. – М., 1984. – 75 с. – (Система стандартов по </w:t>
      </w:r>
      <w:proofErr w:type="spellStart"/>
      <w:r w:rsidRPr="008017E8">
        <w:t>информ</w:t>
      </w:r>
      <w:proofErr w:type="spellEnd"/>
      <w:r w:rsidRPr="008017E8">
        <w:t xml:space="preserve">., библ. и изд. делу).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Книги одного, двух, трех и более авторов. </w:t>
      </w:r>
    </w:p>
    <w:p w:rsidR="008017E8" w:rsidRPr="008017E8" w:rsidRDefault="008017E8" w:rsidP="008017E8">
      <w:pPr>
        <w:pStyle w:val="Default"/>
        <w:jc w:val="both"/>
      </w:pPr>
      <w:proofErr w:type="spellStart"/>
      <w:r w:rsidRPr="008017E8">
        <w:t>Рузавин</w:t>
      </w:r>
      <w:proofErr w:type="spellEnd"/>
      <w:r w:rsidRPr="008017E8">
        <w:t xml:space="preserve"> Г.И. Научная теория: Логико-</w:t>
      </w:r>
      <w:proofErr w:type="spellStart"/>
      <w:r w:rsidRPr="008017E8">
        <w:t>методол</w:t>
      </w:r>
      <w:proofErr w:type="spellEnd"/>
      <w:r w:rsidRPr="008017E8">
        <w:t xml:space="preserve">. анализ. – М. Мысль, 1978. – 237 с. </w:t>
      </w:r>
    </w:p>
    <w:p w:rsidR="008017E8" w:rsidRPr="008017E8" w:rsidRDefault="008017E8" w:rsidP="008017E8">
      <w:pPr>
        <w:pStyle w:val="Default"/>
        <w:jc w:val="both"/>
      </w:pPr>
      <w:proofErr w:type="spellStart"/>
      <w:r w:rsidRPr="008017E8">
        <w:t>Госс</w:t>
      </w:r>
      <w:proofErr w:type="spellEnd"/>
      <w:r w:rsidRPr="008017E8">
        <w:t xml:space="preserve"> В.С., </w:t>
      </w:r>
      <w:proofErr w:type="spellStart"/>
      <w:r w:rsidRPr="008017E8">
        <w:t>Семенюк</w:t>
      </w:r>
      <w:proofErr w:type="spellEnd"/>
      <w:r w:rsidRPr="008017E8">
        <w:t xml:space="preserve"> Э.П., Урсул А.Д. Категории современной науки: Становление и развитие. – М.: Мысль, 1984. – 268 с. </w:t>
      </w:r>
    </w:p>
    <w:p w:rsidR="008017E8" w:rsidRPr="008017E8" w:rsidRDefault="008017E8" w:rsidP="008017E8">
      <w:pPr>
        <w:pStyle w:val="Default"/>
        <w:jc w:val="both"/>
      </w:pPr>
      <w:r w:rsidRPr="008017E8">
        <w:t>Планирование, организация и управление транспортным строительством /</w:t>
      </w:r>
      <w:proofErr w:type="spellStart"/>
      <w:r w:rsidRPr="008017E8">
        <w:t>А.М.Коротеев</w:t>
      </w:r>
      <w:proofErr w:type="spellEnd"/>
      <w:r w:rsidRPr="008017E8">
        <w:t xml:space="preserve">, </w:t>
      </w:r>
      <w:proofErr w:type="spellStart"/>
      <w:r w:rsidRPr="008017E8">
        <w:t>Т.А.Беляев</w:t>
      </w:r>
      <w:proofErr w:type="spellEnd"/>
      <w:r w:rsidRPr="008017E8">
        <w:t xml:space="preserve"> и др.; под ред. </w:t>
      </w:r>
      <w:proofErr w:type="spellStart"/>
      <w:r w:rsidRPr="008017E8">
        <w:t>А.М.Коротеева</w:t>
      </w:r>
      <w:proofErr w:type="spellEnd"/>
      <w:r w:rsidRPr="008017E8">
        <w:t xml:space="preserve">. – М.: Транспорт, 1989. – 286 с.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Сборник одного автора. </w:t>
      </w:r>
    </w:p>
    <w:p w:rsidR="008017E8" w:rsidRPr="008017E8" w:rsidRDefault="008017E8" w:rsidP="008017E8">
      <w:pPr>
        <w:pStyle w:val="Default"/>
        <w:jc w:val="both"/>
      </w:pPr>
      <w:r w:rsidRPr="008017E8">
        <w:t>Методологические проблемы современной науки</w:t>
      </w:r>
      <w:proofErr w:type="gramStart"/>
      <w:r w:rsidRPr="008017E8">
        <w:t xml:space="preserve"> /С</w:t>
      </w:r>
      <w:proofErr w:type="gramEnd"/>
      <w:r w:rsidRPr="008017E8">
        <w:t xml:space="preserve">ост. </w:t>
      </w:r>
      <w:proofErr w:type="spellStart"/>
      <w:r w:rsidRPr="008017E8">
        <w:t>А.Т.Москаленко</w:t>
      </w:r>
      <w:proofErr w:type="spellEnd"/>
      <w:r w:rsidRPr="008017E8">
        <w:t xml:space="preserve">. – М.: Политиздат, 1979. – 295 с.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Сборник с коллективным автором. </w:t>
      </w:r>
    </w:p>
    <w:p w:rsidR="008017E8" w:rsidRPr="008017E8" w:rsidRDefault="008017E8" w:rsidP="008017E8">
      <w:pPr>
        <w:pStyle w:val="Default"/>
        <w:jc w:val="both"/>
      </w:pPr>
      <w:r w:rsidRPr="008017E8">
        <w:lastRenderedPageBreak/>
        <w:t>Непрерывное образование как педагогическая система: Сб. науч. тр. / Научно-</w:t>
      </w:r>
      <w:proofErr w:type="spellStart"/>
      <w:r w:rsidRPr="008017E8">
        <w:t>исслед</w:t>
      </w:r>
      <w:proofErr w:type="spellEnd"/>
      <w:r w:rsidRPr="008017E8">
        <w:t>. НИИ высшего образования</w:t>
      </w:r>
      <w:proofErr w:type="gramStart"/>
      <w:r w:rsidRPr="008017E8">
        <w:t xml:space="preserve"> / О</w:t>
      </w:r>
      <w:proofErr w:type="gramEnd"/>
      <w:r w:rsidRPr="008017E8">
        <w:t xml:space="preserve">тв. ред. Н.Н Нечаев – М.: – НИИВО, 1995. – 156 с.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Материалы конференций, съездов. </w:t>
      </w:r>
    </w:p>
    <w:p w:rsidR="008017E8" w:rsidRPr="008017E8" w:rsidRDefault="008017E8" w:rsidP="008017E8">
      <w:pPr>
        <w:pStyle w:val="Default"/>
        <w:jc w:val="both"/>
      </w:pPr>
      <w:r w:rsidRPr="008017E8">
        <w:t>Проблемы вузовского учебника: Тез</w:t>
      </w:r>
      <w:proofErr w:type="gramStart"/>
      <w:r w:rsidRPr="008017E8">
        <w:t>.</w:t>
      </w:r>
      <w:proofErr w:type="gramEnd"/>
      <w:r w:rsidRPr="008017E8">
        <w:t xml:space="preserve"> </w:t>
      </w:r>
      <w:proofErr w:type="spellStart"/>
      <w:proofErr w:type="gramStart"/>
      <w:r w:rsidRPr="008017E8">
        <w:t>д</w:t>
      </w:r>
      <w:proofErr w:type="gramEnd"/>
      <w:r w:rsidRPr="008017E8">
        <w:t>окл</w:t>
      </w:r>
      <w:proofErr w:type="spellEnd"/>
      <w:r w:rsidRPr="008017E8">
        <w:t xml:space="preserve">. Третья </w:t>
      </w:r>
      <w:proofErr w:type="spellStart"/>
      <w:r w:rsidRPr="008017E8">
        <w:t>всесоюз</w:t>
      </w:r>
      <w:proofErr w:type="spellEnd"/>
      <w:r w:rsidRPr="008017E8">
        <w:t xml:space="preserve">. науч. </w:t>
      </w:r>
      <w:proofErr w:type="spellStart"/>
      <w:r w:rsidRPr="008017E8">
        <w:t>конф</w:t>
      </w:r>
      <w:proofErr w:type="spellEnd"/>
      <w:r w:rsidRPr="008017E8">
        <w:t xml:space="preserve">. – М.: МИСИ, 1988. – 156 с.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Статья из газеты и журнала. </w:t>
      </w:r>
    </w:p>
    <w:p w:rsidR="008017E8" w:rsidRPr="008017E8" w:rsidRDefault="008017E8" w:rsidP="008017E8">
      <w:pPr>
        <w:pStyle w:val="Default"/>
        <w:jc w:val="both"/>
      </w:pPr>
      <w:proofErr w:type="spellStart"/>
      <w:r w:rsidRPr="008017E8">
        <w:t>Райцын</w:t>
      </w:r>
      <w:proofErr w:type="spellEnd"/>
      <w:r w:rsidRPr="008017E8">
        <w:t xml:space="preserve"> Н. В окопах торговых войн // Деловой мир. – 1993. – 7 окт. </w:t>
      </w:r>
    </w:p>
    <w:p w:rsidR="008017E8" w:rsidRPr="008017E8" w:rsidRDefault="008017E8" w:rsidP="008017E8">
      <w:pPr>
        <w:pStyle w:val="Default"/>
        <w:jc w:val="both"/>
      </w:pPr>
      <w:r w:rsidRPr="008017E8">
        <w:t>Егорова-</w:t>
      </w:r>
      <w:proofErr w:type="spellStart"/>
      <w:r w:rsidRPr="008017E8">
        <w:t>Гантман</w:t>
      </w:r>
      <w:proofErr w:type="spellEnd"/>
      <w:r w:rsidRPr="008017E8">
        <w:t xml:space="preserve"> Е., </w:t>
      </w:r>
      <w:proofErr w:type="spellStart"/>
      <w:r w:rsidRPr="008017E8">
        <w:t>Минтусов</w:t>
      </w:r>
      <w:proofErr w:type="spellEnd"/>
      <w:r w:rsidRPr="008017E8">
        <w:t xml:space="preserve"> И. Портрет делового человека </w:t>
      </w:r>
      <w:r w:rsidRPr="008017E8">
        <w:rPr>
          <w:i/>
          <w:iCs/>
        </w:rPr>
        <w:t xml:space="preserve">// </w:t>
      </w:r>
      <w:r w:rsidRPr="008017E8">
        <w:t xml:space="preserve">Проблемы теории и практики управления. – 1992. – № 6. – С. 14-15.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Статья из продолжающегося издания.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Сафронов Г.П. Итоги, задачи и перспективы развития книжной торговли // Кн. торговля. Опыт, </w:t>
      </w:r>
      <w:proofErr w:type="spellStart"/>
      <w:r w:rsidRPr="008017E8">
        <w:t>пробл</w:t>
      </w:r>
      <w:proofErr w:type="spellEnd"/>
      <w:r w:rsidRPr="008017E8">
        <w:t xml:space="preserve">., </w:t>
      </w:r>
      <w:proofErr w:type="spellStart"/>
      <w:r w:rsidRPr="008017E8">
        <w:t>исслед</w:t>
      </w:r>
      <w:proofErr w:type="spellEnd"/>
      <w:r w:rsidRPr="008017E8">
        <w:t xml:space="preserve">. – 1981. – </w:t>
      </w:r>
      <w:proofErr w:type="spellStart"/>
      <w:r w:rsidRPr="008017E8">
        <w:t>Вып</w:t>
      </w:r>
      <w:proofErr w:type="spellEnd"/>
      <w:r w:rsidRPr="008017E8">
        <w:t xml:space="preserve"> 8. – С. 3–16.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Статья из ежегодника.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Народное образование и культура // СССР в цифрах в 1985 г. – М., 1986. – С. 241-255. </w:t>
      </w:r>
    </w:p>
    <w:p w:rsidR="008017E8" w:rsidRPr="008017E8" w:rsidRDefault="008017E8" w:rsidP="008017E8">
      <w:pPr>
        <w:pStyle w:val="Default"/>
        <w:jc w:val="both"/>
      </w:pPr>
      <w:r w:rsidRPr="008017E8">
        <w:rPr>
          <w:b/>
          <w:bCs/>
        </w:rPr>
        <w:t xml:space="preserve">Статья из энциклопедии и словаря. </w:t>
      </w:r>
    </w:p>
    <w:p w:rsidR="008017E8" w:rsidRPr="008017E8" w:rsidRDefault="008017E8" w:rsidP="008017E8">
      <w:pPr>
        <w:pStyle w:val="Default"/>
        <w:jc w:val="both"/>
      </w:pPr>
      <w:r w:rsidRPr="008017E8">
        <w:t xml:space="preserve">Бирюков Б.В., </w:t>
      </w:r>
      <w:proofErr w:type="spellStart"/>
      <w:r w:rsidRPr="008017E8">
        <w:t>Гастев</w:t>
      </w:r>
      <w:proofErr w:type="spellEnd"/>
      <w:r w:rsidRPr="008017E8">
        <w:t xml:space="preserve"> Ю.А., Геллер Е.С. Моделирование // БСЭ. – 3-е изд. – М., 1974. – Т. 16. – С. 393-395. </w:t>
      </w:r>
    </w:p>
    <w:p w:rsidR="008017E8" w:rsidRPr="008017E8" w:rsidRDefault="008017E8" w:rsidP="007576E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17E8">
        <w:rPr>
          <w:rFonts w:ascii="Times New Roman" w:hAnsi="Times New Roman" w:cs="Times New Roman"/>
          <w:sz w:val="24"/>
          <w:szCs w:val="24"/>
        </w:rPr>
        <w:t>Диссертация // Советский энциклопедический словарь. – М., – 1985. – С. 396</w:t>
      </w:r>
    </w:p>
    <w:p w:rsidR="008017E8" w:rsidRPr="008017E8" w:rsidRDefault="008017E8" w:rsidP="008017E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287" w:rsidRPr="008017E8" w:rsidRDefault="007576E2" w:rsidP="00801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287" w:rsidRPr="0080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24"/>
    <w:rsid w:val="007576E2"/>
    <w:rsid w:val="008017E8"/>
    <w:rsid w:val="0087720F"/>
    <w:rsid w:val="00A47BDB"/>
    <w:rsid w:val="00A90E24"/>
    <w:rsid w:val="00B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E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E8"/>
    <w:pPr>
      <w:ind w:left="720"/>
      <w:contextualSpacing/>
    </w:pPr>
  </w:style>
  <w:style w:type="paragraph" w:customStyle="1" w:styleId="Default">
    <w:name w:val="Default"/>
    <w:rsid w:val="008017E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E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E8"/>
    <w:pPr>
      <w:ind w:left="720"/>
      <w:contextualSpacing/>
    </w:pPr>
  </w:style>
  <w:style w:type="paragraph" w:customStyle="1" w:styleId="Default">
    <w:name w:val="Default"/>
    <w:rsid w:val="008017E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Z7KFWENHHMJR-2098847153-10</_dlc_DocId>
    <_dlc_DocIdUrl xmlns="134c83b0-daba-48ad-8a7d-75e8d548d543">
      <Url>http://www.eduportal44.ru/Galich/school3/eu/mls/_layouts/15/DocIdRedir.aspx?ID=Z7KFWENHHMJR-2098847153-10</Url>
      <Description>Z7KFWENHHMJR-2098847153-10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61C1263EC384FA2B1910AA4BD5B2A" ma:contentTypeVersion="1" ma:contentTypeDescription="Создание документа." ma:contentTypeScope="" ma:versionID="a332cb068be546160f1238228f68496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903993072b98aff3364a86016f51905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25C75-3BF4-4EF0-AA19-A16B90D94CE4}"/>
</file>

<file path=customXml/itemProps2.xml><?xml version="1.0" encoding="utf-8"?>
<ds:datastoreItem xmlns:ds="http://schemas.openxmlformats.org/officeDocument/2006/customXml" ds:itemID="{E8C719BE-61E7-4311-8DE8-996B1EA5F8B1}"/>
</file>

<file path=customXml/itemProps3.xml><?xml version="1.0" encoding="utf-8"?>
<ds:datastoreItem xmlns:ds="http://schemas.openxmlformats.org/officeDocument/2006/customXml" ds:itemID="{90A59A07-57DC-4694-B00B-C8A1A0D52354}"/>
</file>

<file path=customXml/itemProps4.xml><?xml version="1.0" encoding="utf-8"?>
<ds:datastoreItem xmlns:ds="http://schemas.openxmlformats.org/officeDocument/2006/customXml" ds:itemID="{A33FE3A3-BF59-4D51-940B-986E1DBB3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Требования к оформлению проекта</dc:title>
  <dc:creator>светлана</dc:creator>
  <cp:lastModifiedBy>светлана</cp:lastModifiedBy>
  <cp:revision>2</cp:revision>
  <dcterms:created xsi:type="dcterms:W3CDTF">2015-11-05T18:12:00Z</dcterms:created>
  <dcterms:modified xsi:type="dcterms:W3CDTF">2015-11-05T18:12:00Z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0x0101003DF61C1263EC384FA2B1910AA4BD5B2A</vt:lpwstr>
  </property>
  <property fmtid="{D5CDD505-2E9C-101B-9397-08002B2CF9AE}" pid="3" name="_dlc_DocIdItemGuid">
    <vt:lpwstr>9ae9fd98-9f2e-470a-b3d2-dc937d04e6f4</vt:lpwstr>
  </property>
</Properties>
</file>